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00" w:rsidRDefault="008C3600" w:rsidP="00D01F66">
      <w:pPr>
        <w:pStyle w:val="BodyText"/>
        <w:spacing w:line="240" w:lineRule="auto"/>
        <w:jc w:val="center"/>
        <w:rPr>
          <w:rFonts w:ascii="Whitman-RomanLF" w:hAnsi="Whitman-RomanLF" w:cs="Whitman-RomanLF"/>
          <w:b/>
          <w:sz w:val="32"/>
          <w:szCs w:val="32"/>
        </w:rPr>
      </w:pPr>
      <w:r>
        <w:rPr>
          <w:rFonts w:ascii="Whitman-RomanLF" w:hAnsi="Whitman-RomanLF" w:cs="Whitman-RomanLF"/>
          <w:b/>
          <w:noProof/>
          <w:sz w:val="32"/>
          <w:szCs w:val="32"/>
        </w:rPr>
        <w:drawing>
          <wp:inline distT="0" distB="0" distL="0" distR="0">
            <wp:extent cx="169956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GUW Logos\logo-00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99564" cy="914400"/>
                    </a:xfrm>
                    <a:prstGeom prst="rect">
                      <a:avLst/>
                    </a:prstGeom>
                    <a:noFill/>
                    <a:ln>
                      <a:noFill/>
                    </a:ln>
                  </pic:spPr>
                </pic:pic>
              </a:graphicData>
            </a:graphic>
          </wp:inline>
        </w:drawing>
      </w:r>
    </w:p>
    <w:p w:rsidR="00D01F66" w:rsidRDefault="00D01F66" w:rsidP="00D01F66">
      <w:pPr>
        <w:pStyle w:val="BodyText"/>
        <w:spacing w:line="240" w:lineRule="auto"/>
        <w:jc w:val="center"/>
        <w:rPr>
          <w:rFonts w:ascii="Whitman-RomanLF" w:hAnsi="Whitman-RomanLF" w:cs="Whitman-RomanLF"/>
          <w:b/>
          <w:sz w:val="32"/>
          <w:szCs w:val="32"/>
        </w:rPr>
      </w:pPr>
      <w:r w:rsidRPr="00D01F66">
        <w:rPr>
          <w:rFonts w:ascii="Whitman-RomanLF" w:hAnsi="Whitman-RomanLF" w:cs="Whitman-RomanLF"/>
          <w:b/>
          <w:sz w:val="32"/>
          <w:szCs w:val="32"/>
        </w:rPr>
        <w:t>Records Retention Policy</w:t>
      </w:r>
    </w:p>
    <w:p w:rsidR="00D01F66" w:rsidRPr="00D01F66" w:rsidRDefault="00D01F66" w:rsidP="00D01F66">
      <w:pPr>
        <w:pStyle w:val="BodyText"/>
        <w:spacing w:line="240" w:lineRule="auto"/>
        <w:jc w:val="center"/>
        <w:rPr>
          <w:rFonts w:ascii="Whitman-RomanLF" w:hAnsi="Whitman-RomanLF" w:cs="Whitman-RomanLF"/>
          <w:b/>
          <w:sz w:val="32"/>
          <w:szCs w:val="32"/>
        </w:rPr>
      </w:pPr>
      <w:bookmarkStart w:id="0" w:name="_GoBack"/>
      <w:bookmarkEnd w:id="0"/>
    </w:p>
    <w:p w:rsidR="001A01AD" w:rsidRPr="00D01F66" w:rsidRDefault="00A721CF" w:rsidP="001A01AD">
      <w:pPr>
        <w:pStyle w:val="BodyText"/>
        <w:spacing w:line="240" w:lineRule="auto"/>
        <w:rPr>
          <w:rFonts w:ascii="Whitman-RomanLF" w:hAnsi="Whitman-RomanLF" w:cs="Whitman-RomanLF"/>
          <w:b/>
          <w:sz w:val="24"/>
          <w:szCs w:val="24"/>
        </w:rPr>
      </w:pPr>
      <w:r w:rsidRPr="00D01F66">
        <w:rPr>
          <w:rFonts w:ascii="Whitman-RomanLF" w:hAnsi="Whitman-RomanLF" w:cs="Whitman-RomanLF"/>
          <w:b/>
          <w:sz w:val="24"/>
          <w:szCs w:val="24"/>
        </w:rPr>
        <w:t xml:space="preserve">1. </w:t>
      </w:r>
      <w:r w:rsidR="001A01AD" w:rsidRPr="00D01F66">
        <w:rPr>
          <w:rFonts w:ascii="Whitman-RomanLF" w:hAnsi="Whitman-RomanLF" w:cs="Whitman-RomanLF"/>
          <w:b/>
          <w:sz w:val="24"/>
          <w:szCs w:val="24"/>
        </w:rPr>
        <w:t>Retention Schedule</w:t>
      </w:r>
    </w:p>
    <w:tbl>
      <w:tblPr>
        <w:tblW w:w="8100" w:type="dxa"/>
        <w:tblCellMar>
          <w:left w:w="115" w:type="dxa"/>
          <w:right w:w="115" w:type="dxa"/>
        </w:tblCellMar>
        <w:tblLook w:val="01E0" w:firstRow="1" w:lastRow="1" w:firstColumn="1" w:lastColumn="1" w:noHBand="0" w:noVBand="0"/>
      </w:tblPr>
      <w:tblGrid>
        <w:gridCol w:w="1804"/>
        <w:gridCol w:w="4420"/>
        <w:gridCol w:w="1876"/>
      </w:tblGrid>
      <w:tr w:rsidR="001A01AD" w:rsidRPr="00D01F66">
        <w:tc>
          <w:tcPr>
            <w:tcW w:w="1710" w:type="dxa"/>
            <w:tcBorders>
              <w:top w:val="single" w:sz="4" w:space="0" w:color="auto"/>
              <w:bottom w:val="single" w:sz="4" w:space="0" w:color="auto"/>
            </w:tcBorders>
            <w:shd w:val="clear" w:color="auto" w:fill="A6A6A6"/>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File Category</w:t>
            </w:r>
          </w:p>
        </w:tc>
        <w:tc>
          <w:tcPr>
            <w:tcW w:w="4500" w:type="dxa"/>
            <w:tcBorders>
              <w:top w:val="single" w:sz="4" w:space="0" w:color="auto"/>
              <w:bottom w:val="single" w:sz="4" w:space="0" w:color="auto"/>
            </w:tcBorders>
            <w:shd w:val="clear" w:color="auto" w:fill="A6A6A6"/>
            <w:vAlign w:val="center"/>
          </w:tcPr>
          <w:p w:rsidR="001A01AD" w:rsidRPr="00D01F66" w:rsidRDefault="001A01AD" w:rsidP="001A01AD">
            <w:pPr>
              <w:spacing w:before="40" w:after="40"/>
              <w:rPr>
                <w:rFonts w:ascii="Whitman-RomanLF" w:hAnsi="Whitman-RomanLF" w:cs="Whitman-RomanLF"/>
                <w:b/>
                <w:bCs/>
                <w:i/>
              </w:rPr>
            </w:pPr>
            <w:r w:rsidRPr="00D01F66">
              <w:rPr>
                <w:rFonts w:ascii="Whitman-RomanLF" w:hAnsi="Whitman-RomanLF" w:cs="Whitman-RomanLF"/>
                <w:b/>
                <w:bCs/>
                <w:i/>
              </w:rPr>
              <w:t>Item</w:t>
            </w:r>
          </w:p>
        </w:tc>
        <w:tc>
          <w:tcPr>
            <w:tcW w:w="1890" w:type="dxa"/>
            <w:tcBorders>
              <w:top w:val="single" w:sz="4" w:space="0" w:color="auto"/>
              <w:bottom w:val="single" w:sz="4" w:space="0" w:color="auto"/>
            </w:tcBorders>
            <w:shd w:val="clear" w:color="auto" w:fill="A6A6A6"/>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Retention Period</w:t>
            </w:r>
          </w:p>
        </w:tc>
      </w:tr>
      <w:tr w:rsidR="001A01AD" w:rsidRPr="00D01F66">
        <w:trPr>
          <w:trHeight w:val="260"/>
        </w:trPr>
        <w:tc>
          <w:tcPr>
            <w:tcW w:w="1710" w:type="dxa"/>
            <w:tcBorders>
              <w:top w:val="single" w:sz="4" w:space="0" w:color="auto"/>
            </w:tcBorders>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Corporate Records</w:t>
            </w:r>
          </w:p>
        </w:tc>
        <w:tc>
          <w:tcPr>
            <w:tcW w:w="4500" w:type="dxa"/>
            <w:tcBorders>
              <w:top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Bylaws and Articles of Incorporation</w:t>
            </w:r>
          </w:p>
        </w:tc>
        <w:tc>
          <w:tcPr>
            <w:tcW w:w="1890" w:type="dxa"/>
            <w:tcBorders>
              <w:top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rPr>
          <w:trHeight w:val="260"/>
        </w:trPr>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Corporate resolutions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rPr>
          <w:trHeight w:hRule="exact" w:val="720"/>
        </w:trPr>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Board and committee meeting agendas and minutes</w:t>
            </w:r>
          </w:p>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minutes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b/>
                <w:bCs/>
              </w:rPr>
            </w:pPr>
          </w:p>
        </w:tc>
        <w:tc>
          <w:tcPr>
            <w:tcW w:w="450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Conflict-of-interest disclosure forms</w:t>
            </w:r>
          </w:p>
        </w:tc>
        <w:tc>
          <w:tcPr>
            <w:tcW w:w="189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4 years</w:t>
            </w:r>
          </w:p>
        </w:tc>
      </w:tr>
      <w:tr w:rsidR="001A01AD" w:rsidRPr="00D01F66">
        <w:tc>
          <w:tcPr>
            <w:tcW w:w="1710" w:type="dxa"/>
            <w:tcBorders>
              <w:top w:val="single" w:sz="4" w:space="0" w:color="auto"/>
            </w:tcBorders>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Finance and Administration</w:t>
            </w:r>
          </w:p>
        </w:tc>
        <w:tc>
          <w:tcPr>
            <w:tcW w:w="4500" w:type="dxa"/>
            <w:tcBorders>
              <w:top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Financial statements (audited)</w:t>
            </w:r>
          </w:p>
        </w:tc>
        <w:tc>
          <w:tcPr>
            <w:tcW w:w="1890" w:type="dxa"/>
            <w:tcBorders>
              <w:top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Auditor management letters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Payroll records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Check register and checks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Bank deposits and statements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Chart of accounts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General ledgers and journals (includes bank reconciliations)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Investment performance reports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Equipment files and maintenance records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disposition</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Contracts and agreements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all obligations end</w:t>
            </w:r>
          </w:p>
        </w:tc>
      </w:tr>
      <w:tr w:rsidR="001A01AD" w:rsidRPr="00D01F66">
        <w:tc>
          <w:tcPr>
            <w:tcW w:w="171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b/>
                <w:bCs/>
              </w:rPr>
            </w:pPr>
          </w:p>
        </w:tc>
        <w:tc>
          <w:tcPr>
            <w:tcW w:w="450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Correspondence — general</w:t>
            </w:r>
          </w:p>
        </w:tc>
        <w:tc>
          <w:tcPr>
            <w:tcW w:w="189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3 years</w:t>
            </w:r>
          </w:p>
        </w:tc>
      </w:tr>
      <w:tr w:rsidR="001A01AD" w:rsidRPr="00D01F66">
        <w:tc>
          <w:tcPr>
            <w:tcW w:w="1710" w:type="dxa"/>
            <w:tcBorders>
              <w:top w:val="single" w:sz="4" w:space="0" w:color="auto"/>
            </w:tcBorders>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Insurance Records</w:t>
            </w:r>
          </w:p>
        </w:tc>
        <w:tc>
          <w:tcPr>
            <w:tcW w:w="4500" w:type="dxa"/>
            <w:tcBorders>
              <w:top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Policies — occurrence type</w:t>
            </w:r>
          </w:p>
        </w:tc>
        <w:tc>
          <w:tcPr>
            <w:tcW w:w="1890" w:type="dxa"/>
            <w:tcBorders>
              <w:top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Policies — claims-made type</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Accident reports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Safety (OSHA) reports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Claims (after settlement)</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b/>
                <w:bCs/>
              </w:rPr>
            </w:pPr>
          </w:p>
        </w:tc>
        <w:tc>
          <w:tcPr>
            <w:tcW w:w="450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Group disability records</w:t>
            </w:r>
          </w:p>
        </w:tc>
        <w:tc>
          <w:tcPr>
            <w:tcW w:w="189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end of benefits</w:t>
            </w:r>
          </w:p>
        </w:tc>
      </w:tr>
      <w:tr w:rsidR="001A01AD" w:rsidRPr="00D01F66">
        <w:tc>
          <w:tcPr>
            <w:tcW w:w="1710" w:type="dxa"/>
            <w:tcBorders>
              <w:top w:val="single" w:sz="4" w:space="0" w:color="auto"/>
            </w:tcBorders>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Real Estate</w:t>
            </w:r>
          </w:p>
        </w:tc>
        <w:tc>
          <w:tcPr>
            <w:tcW w:w="4500" w:type="dxa"/>
            <w:tcBorders>
              <w:top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Deeds</w:t>
            </w:r>
          </w:p>
        </w:tc>
        <w:tc>
          <w:tcPr>
            <w:tcW w:w="1890" w:type="dxa"/>
            <w:tcBorders>
              <w:top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Leases (expired)</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all obligations end</w:t>
            </w:r>
          </w:p>
        </w:tc>
      </w:tr>
      <w:tr w:rsidR="001A01AD" w:rsidRPr="00D01F66">
        <w:tc>
          <w:tcPr>
            <w:tcW w:w="171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b/>
                <w:bCs/>
              </w:rPr>
            </w:pPr>
          </w:p>
        </w:tc>
        <w:tc>
          <w:tcPr>
            <w:tcW w:w="450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Mortgages, security agreements</w:t>
            </w:r>
          </w:p>
        </w:tc>
        <w:tc>
          <w:tcPr>
            <w:tcW w:w="189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all obligations end</w:t>
            </w:r>
          </w:p>
        </w:tc>
      </w:tr>
      <w:tr w:rsidR="001A01AD" w:rsidRPr="00D01F66">
        <w:tc>
          <w:tcPr>
            <w:tcW w:w="1710" w:type="dxa"/>
            <w:tcBorders>
              <w:top w:val="single" w:sz="4" w:space="0" w:color="auto"/>
            </w:tcBorders>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Tax</w:t>
            </w:r>
          </w:p>
        </w:tc>
        <w:tc>
          <w:tcPr>
            <w:tcW w:w="4500" w:type="dxa"/>
            <w:tcBorders>
              <w:top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IRS exemption determination and related correspondence</w:t>
            </w:r>
          </w:p>
        </w:tc>
        <w:tc>
          <w:tcPr>
            <w:tcW w:w="1890" w:type="dxa"/>
            <w:tcBorders>
              <w:top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IRS Form 990s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b/>
                <w:bCs/>
              </w:rPr>
            </w:pPr>
          </w:p>
        </w:tc>
        <w:tc>
          <w:tcPr>
            <w:tcW w:w="450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IRS Form 1023 (Application for Tax Exemption)</w:t>
            </w:r>
          </w:p>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IRS Form 5768 (“501H Election”)</w:t>
            </w:r>
          </w:p>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Charitable Organizations Registration Statements (filed with Minnesota Attorney General)</w:t>
            </w:r>
          </w:p>
        </w:tc>
        <w:tc>
          <w:tcPr>
            <w:tcW w:w="189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p w:rsidR="001A01AD" w:rsidRPr="00D01F66" w:rsidRDefault="001A01AD" w:rsidP="001A01AD">
            <w:pPr>
              <w:spacing w:before="40" w:after="40"/>
              <w:rPr>
                <w:rFonts w:ascii="Whitman-RomanLF" w:hAnsi="Whitman-RomanLF" w:cs="Whitman-RomanLF"/>
              </w:rPr>
            </w:pPr>
          </w:p>
        </w:tc>
      </w:tr>
      <w:tr w:rsidR="001A01AD" w:rsidRPr="00D01F66">
        <w:tc>
          <w:tcPr>
            <w:tcW w:w="1710" w:type="dxa"/>
            <w:tcBorders>
              <w:top w:val="single" w:sz="4" w:space="0" w:color="auto"/>
            </w:tcBorders>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Human Resources</w:t>
            </w:r>
          </w:p>
        </w:tc>
        <w:tc>
          <w:tcPr>
            <w:tcW w:w="4500" w:type="dxa"/>
            <w:tcBorders>
              <w:top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Employee personnel files</w:t>
            </w:r>
          </w:p>
        </w:tc>
        <w:tc>
          <w:tcPr>
            <w:tcW w:w="1890" w:type="dxa"/>
            <w:tcBorders>
              <w:top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employment ends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Retirement plan benefits (plan descriptions, plan documents)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Employee handbooks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Permanent</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Workers comp claims (after settlement)</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rPr>
          <w:trHeight w:val="350"/>
        </w:trPr>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Employee orientation and training materials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use ends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Employment applications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3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IRS Form I-9 (store separate from personnel file)</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Greater of 1 year after end of service, or three years</w:t>
            </w:r>
          </w:p>
        </w:tc>
      </w:tr>
      <w:tr w:rsidR="001A01AD" w:rsidRPr="00D01F66">
        <w:tc>
          <w:tcPr>
            <w:tcW w:w="1710" w:type="dxa"/>
            <w:vAlign w:val="center"/>
          </w:tcPr>
          <w:p w:rsidR="001A01AD" w:rsidRPr="00D01F66" w:rsidRDefault="001A01AD" w:rsidP="001A01AD">
            <w:pPr>
              <w:spacing w:before="40" w:after="40"/>
              <w:rPr>
                <w:rFonts w:ascii="Whitman-RomanLF" w:hAnsi="Whitman-RomanLF" w:cs="Whitman-RomanLF"/>
                <w:b/>
                <w:bCs/>
              </w:rPr>
            </w:pPr>
          </w:p>
        </w:tc>
        <w:tc>
          <w:tcPr>
            <w:tcW w:w="4500" w:type="dxa"/>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Withholding tax statements</w:t>
            </w:r>
          </w:p>
        </w:tc>
        <w:tc>
          <w:tcPr>
            <w:tcW w:w="1890" w:type="dxa"/>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w:t>
            </w:r>
          </w:p>
        </w:tc>
      </w:tr>
      <w:tr w:rsidR="001A01AD" w:rsidRPr="00D01F66">
        <w:tc>
          <w:tcPr>
            <w:tcW w:w="171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b/>
                <w:bCs/>
              </w:rPr>
            </w:pPr>
          </w:p>
        </w:tc>
        <w:tc>
          <w:tcPr>
            <w:tcW w:w="450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Timecards</w:t>
            </w:r>
          </w:p>
        </w:tc>
        <w:tc>
          <w:tcPr>
            <w:tcW w:w="1890" w:type="dxa"/>
            <w:tcBorders>
              <w:bottom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3 years</w:t>
            </w:r>
          </w:p>
        </w:tc>
      </w:tr>
      <w:tr w:rsidR="001A01AD" w:rsidRPr="00D01F66">
        <w:trPr>
          <w:trHeight w:val="70"/>
        </w:trPr>
        <w:tc>
          <w:tcPr>
            <w:tcW w:w="1710" w:type="dxa"/>
            <w:tcBorders>
              <w:top w:val="single" w:sz="4" w:space="0" w:color="auto"/>
            </w:tcBorders>
            <w:vAlign w:val="center"/>
          </w:tcPr>
          <w:p w:rsidR="001A01AD" w:rsidRPr="00D01F66" w:rsidRDefault="001A01AD" w:rsidP="001A01AD">
            <w:pPr>
              <w:spacing w:before="40" w:after="40"/>
              <w:rPr>
                <w:rFonts w:ascii="Whitman-RomanLF" w:hAnsi="Whitman-RomanLF" w:cs="Whitman-RomanLF"/>
                <w:b/>
                <w:bCs/>
              </w:rPr>
            </w:pPr>
            <w:r w:rsidRPr="00D01F66">
              <w:rPr>
                <w:rFonts w:ascii="Whitman-RomanLF" w:hAnsi="Whitman-RomanLF" w:cs="Whitman-RomanLF"/>
                <w:b/>
                <w:bCs/>
              </w:rPr>
              <w:t>Technology</w:t>
            </w:r>
          </w:p>
        </w:tc>
        <w:tc>
          <w:tcPr>
            <w:tcW w:w="4500" w:type="dxa"/>
            <w:tcBorders>
              <w:top w:val="single" w:sz="4" w:space="0" w:color="auto"/>
            </w:tcBorders>
            <w:vAlign w:val="center"/>
          </w:tcPr>
          <w:p w:rsidR="001A01AD" w:rsidRPr="00D01F66" w:rsidRDefault="001A01AD" w:rsidP="001A01AD">
            <w:pPr>
              <w:spacing w:before="40" w:after="40"/>
              <w:rPr>
                <w:rFonts w:ascii="Whitman-RomanLF" w:hAnsi="Whitman-RomanLF" w:cs="Whitman-RomanLF"/>
                <w:i/>
              </w:rPr>
            </w:pPr>
            <w:r w:rsidRPr="00D01F66">
              <w:rPr>
                <w:rFonts w:ascii="Whitman-RomanLF" w:hAnsi="Whitman-RomanLF" w:cs="Whitman-RomanLF"/>
                <w:i/>
              </w:rPr>
              <w:t>Software licenses and support agreements</w:t>
            </w:r>
          </w:p>
        </w:tc>
        <w:tc>
          <w:tcPr>
            <w:tcW w:w="1890" w:type="dxa"/>
            <w:tcBorders>
              <w:top w:val="single" w:sz="4" w:space="0" w:color="auto"/>
            </w:tcBorders>
            <w:vAlign w:val="center"/>
          </w:tcPr>
          <w:p w:rsidR="001A01AD" w:rsidRPr="00D01F66" w:rsidRDefault="001A01AD" w:rsidP="001A01AD">
            <w:pPr>
              <w:spacing w:before="40" w:after="40"/>
              <w:rPr>
                <w:rFonts w:ascii="Whitman-RomanLF" w:hAnsi="Whitman-RomanLF" w:cs="Whitman-RomanLF"/>
              </w:rPr>
            </w:pPr>
            <w:r w:rsidRPr="00D01F66">
              <w:rPr>
                <w:rFonts w:ascii="Whitman-RomanLF" w:hAnsi="Whitman-RomanLF" w:cs="Whitman-RomanLF"/>
              </w:rPr>
              <w:t>7 years after all obligations end</w:t>
            </w:r>
          </w:p>
        </w:tc>
      </w:tr>
    </w:tbl>
    <w:p w:rsidR="001A01AD" w:rsidRPr="00D01F66" w:rsidRDefault="001A01AD" w:rsidP="001A01AD">
      <w:pPr>
        <w:pStyle w:val="BodyText"/>
        <w:spacing w:line="240" w:lineRule="auto"/>
        <w:rPr>
          <w:rFonts w:ascii="Whitman-RomanLF" w:hAnsi="Whitman-RomanLF" w:cs="Whitman-RomanLF"/>
          <w:sz w:val="24"/>
          <w:szCs w:val="24"/>
        </w:rPr>
      </w:pPr>
    </w:p>
    <w:p w:rsidR="001A01AD" w:rsidRPr="00D01F66" w:rsidRDefault="00A721CF" w:rsidP="001A01AD">
      <w:pPr>
        <w:pStyle w:val="Heading2"/>
        <w:spacing w:line="240" w:lineRule="auto"/>
        <w:rPr>
          <w:rFonts w:ascii="Whitman-RomanLF" w:hAnsi="Whitman-RomanLF" w:cs="Whitman-RomanLF"/>
          <w:i w:val="0"/>
          <w:iCs w:val="0"/>
          <w:sz w:val="24"/>
          <w:szCs w:val="24"/>
        </w:rPr>
      </w:pPr>
      <w:r w:rsidRPr="00D01F66">
        <w:rPr>
          <w:rFonts w:ascii="Whitman-RomanLF" w:hAnsi="Whitman-RomanLF" w:cs="Whitman-RomanLF"/>
          <w:i w:val="0"/>
          <w:iCs w:val="0"/>
          <w:sz w:val="24"/>
          <w:szCs w:val="24"/>
        </w:rPr>
        <w:t xml:space="preserve">2. </w:t>
      </w:r>
      <w:r w:rsidR="001A01AD" w:rsidRPr="00D01F66">
        <w:rPr>
          <w:rFonts w:ascii="Whitman-RomanLF" w:hAnsi="Whitman-RomanLF" w:cs="Whitman-RomanLF"/>
          <w:i w:val="0"/>
          <w:iCs w:val="0"/>
          <w:sz w:val="24"/>
          <w:szCs w:val="24"/>
        </w:rPr>
        <w:t>Electronic Documents and Records.</w:t>
      </w:r>
    </w:p>
    <w:p w:rsidR="001A01AD" w:rsidRPr="00D01F66" w:rsidRDefault="001A01AD" w:rsidP="001A01AD">
      <w:pPr>
        <w:pStyle w:val="BodyText"/>
        <w:spacing w:line="240" w:lineRule="auto"/>
        <w:rPr>
          <w:rFonts w:ascii="Whitman-RomanLF" w:hAnsi="Whitman-RomanLF" w:cs="Whitman-RomanLF"/>
          <w:sz w:val="24"/>
          <w:szCs w:val="24"/>
        </w:rPr>
      </w:pPr>
      <w:r w:rsidRPr="00D01F66">
        <w:rPr>
          <w:rFonts w:ascii="Whitman-RomanLF" w:hAnsi="Whitman-RomanLF" w:cs="Whitman-RomanLF"/>
          <w:sz w:val="24"/>
          <w:szCs w:val="24"/>
        </w:rPr>
        <w:t xml:space="preserve">Electronic documents will be retained as if they were paper documents.  Therefore, any electronic files that fall into one of the document types on the above schedule will be maintained for the appropriate amount of time. If a user has sufficient reason to keep an e-mail message, the message should be printed in hard copy and kept in the appropriate </w:t>
      </w:r>
      <w:r w:rsidRPr="00D01F66">
        <w:rPr>
          <w:rFonts w:ascii="Whitman-RomanLF" w:hAnsi="Whitman-RomanLF" w:cs="Whitman-RomanLF"/>
          <w:sz w:val="24"/>
          <w:szCs w:val="24"/>
        </w:rPr>
        <w:lastRenderedPageBreak/>
        <w:t>file or moved to an “archive” computer file folder. Backup and recovery methods will be tested on a regular basis.</w:t>
      </w:r>
    </w:p>
    <w:p w:rsidR="001A01AD" w:rsidRPr="00D01F66" w:rsidRDefault="00A721CF" w:rsidP="001A01AD">
      <w:pPr>
        <w:pStyle w:val="Heading2"/>
        <w:spacing w:line="240" w:lineRule="auto"/>
        <w:rPr>
          <w:rFonts w:ascii="Whitman-RomanLF" w:hAnsi="Whitman-RomanLF" w:cs="Whitman-RomanLF"/>
          <w:i w:val="0"/>
          <w:iCs w:val="0"/>
          <w:sz w:val="24"/>
          <w:szCs w:val="24"/>
        </w:rPr>
      </w:pPr>
      <w:r w:rsidRPr="00D01F66">
        <w:rPr>
          <w:rFonts w:ascii="Whitman-RomanLF" w:hAnsi="Whitman-RomanLF" w:cs="Whitman-RomanLF"/>
          <w:i w:val="0"/>
          <w:iCs w:val="0"/>
          <w:sz w:val="24"/>
          <w:szCs w:val="24"/>
        </w:rPr>
        <w:t xml:space="preserve">3. </w:t>
      </w:r>
      <w:r w:rsidR="001A01AD" w:rsidRPr="00D01F66">
        <w:rPr>
          <w:rFonts w:ascii="Whitman-RomanLF" w:hAnsi="Whitman-RomanLF" w:cs="Whitman-RomanLF"/>
          <w:i w:val="0"/>
          <w:iCs w:val="0"/>
          <w:sz w:val="24"/>
          <w:szCs w:val="24"/>
        </w:rPr>
        <w:t>Emergency Planning.</w:t>
      </w:r>
    </w:p>
    <w:p w:rsidR="001A01AD" w:rsidRPr="00D01F66" w:rsidRDefault="008C3600" w:rsidP="001A01AD">
      <w:pPr>
        <w:pStyle w:val="BodyText"/>
        <w:spacing w:line="240" w:lineRule="auto"/>
        <w:rPr>
          <w:rFonts w:ascii="Whitman-RomanLF" w:hAnsi="Whitman-RomanLF" w:cs="Whitman-RomanLF"/>
          <w:sz w:val="24"/>
          <w:szCs w:val="24"/>
        </w:rPr>
      </w:pPr>
      <w:r>
        <w:rPr>
          <w:rFonts w:ascii="Whitman-RomanLF" w:hAnsi="Whitman-RomanLF" w:cs="Whitman-RomanLF"/>
          <w:sz w:val="24"/>
          <w:szCs w:val="24"/>
        </w:rPr>
        <w:t>Give Us Wings’</w:t>
      </w:r>
      <w:r w:rsidR="001A01AD" w:rsidRPr="00D01F66">
        <w:rPr>
          <w:rFonts w:ascii="Whitman-RomanLF" w:hAnsi="Whitman-RomanLF" w:cs="Whitman-RomanLF"/>
          <w:sz w:val="24"/>
          <w:szCs w:val="24"/>
        </w:rPr>
        <w:t xml:space="preserve"> records will be stored in a safe, secure, and accessible manner. Documents and financial files that are essential to keeping </w:t>
      </w:r>
      <w:r>
        <w:rPr>
          <w:rFonts w:ascii="Whitman-RomanLF" w:hAnsi="Whitman-RomanLF" w:cs="Whitman-RomanLF"/>
          <w:sz w:val="24"/>
          <w:szCs w:val="24"/>
        </w:rPr>
        <w:t>Give Us Wings</w:t>
      </w:r>
      <w:r w:rsidR="001A1A6E">
        <w:rPr>
          <w:rFonts w:ascii="Whitman-RomanLF" w:hAnsi="Whitman-RomanLF" w:cs="Whitman-RomanLF"/>
          <w:sz w:val="24"/>
          <w:szCs w:val="24"/>
        </w:rPr>
        <w:t xml:space="preserve"> </w:t>
      </w:r>
      <w:r w:rsidR="001A01AD" w:rsidRPr="00D01F66">
        <w:rPr>
          <w:rFonts w:ascii="Whitman-RomanLF" w:hAnsi="Whitman-RomanLF" w:cs="Whitman-RomanLF"/>
          <w:sz w:val="24"/>
          <w:szCs w:val="24"/>
        </w:rPr>
        <w:t>operating in an emergency will be duplicated or backed up at least ev</w:t>
      </w:r>
      <w:r>
        <w:rPr>
          <w:rFonts w:ascii="Whitman-RomanLF" w:hAnsi="Whitman-RomanLF" w:cs="Whitman-RomanLF"/>
          <w:sz w:val="24"/>
          <w:szCs w:val="24"/>
        </w:rPr>
        <w:t>ery week</w:t>
      </w:r>
      <w:r w:rsidR="001A01AD" w:rsidRPr="00D01F66">
        <w:rPr>
          <w:rFonts w:ascii="Whitman-RomanLF" w:hAnsi="Whitman-RomanLF" w:cs="Whitman-RomanLF"/>
          <w:sz w:val="24"/>
          <w:szCs w:val="24"/>
        </w:rPr>
        <w:t>.</w:t>
      </w:r>
    </w:p>
    <w:p w:rsidR="001A01AD" w:rsidRPr="00D01F66" w:rsidRDefault="00A721CF" w:rsidP="001A01AD">
      <w:pPr>
        <w:pStyle w:val="Heading2"/>
        <w:spacing w:line="240" w:lineRule="auto"/>
        <w:rPr>
          <w:rFonts w:ascii="Whitman-RomanLF" w:hAnsi="Whitman-RomanLF" w:cs="Whitman-RomanLF"/>
          <w:i w:val="0"/>
          <w:iCs w:val="0"/>
          <w:sz w:val="24"/>
          <w:szCs w:val="24"/>
        </w:rPr>
      </w:pPr>
      <w:r w:rsidRPr="00D01F66">
        <w:rPr>
          <w:rFonts w:ascii="Whitman-RomanLF" w:hAnsi="Whitman-RomanLF" w:cs="Whitman-RomanLF"/>
          <w:i w:val="0"/>
          <w:iCs w:val="0"/>
          <w:sz w:val="24"/>
          <w:szCs w:val="24"/>
        </w:rPr>
        <w:t xml:space="preserve">4. </w:t>
      </w:r>
      <w:r w:rsidR="001A01AD" w:rsidRPr="00D01F66">
        <w:rPr>
          <w:rFonts w:ascii="Whitman-RomanLF" w:hAnsi="Whitman-RomanLF" w:cs="Whitman-RomanLF"/>
          <w:i w:val="0"/>
          <w:iCs w:val="0"/>
          <w:sz w:val="24"/>
          <w:szCs w:val="24"/>
        </w:rPr>
        <w:t>Document Destruction.</w:t>
      </w:r>
    </w:p>
    <w:p w:rsidR="001A01AD" w:rsidRPr="00D01F66" w:rsidRDefault="001A01AD" w:rsidP="001A01AD">
      <w:pPr>
        <w:pStyle w:val="BodyText"/>
        <w:spacing w:line="240" w:lineRule="auto"/>
        <w:rPr>
          <w:rFonts w:ascii="Whitman-RomanLF" w:hAnsi="Whitman-RomanLF" w:cs="Whitman-RomanLF"/>
          <w:sz w:val="24"/>
          <w:szCs w:val="24"/>
        </w:rPr>
      </w:pPr>
      <w:r w:rsidRPr="00D01F66">
        <w:rPr>
          <w:rFonts w:ascii="Whitman-RomanLF" w:hAnsi="Whitman-RomanLF" w:cs="Whitman-RomanLF"/>
          <w:sz w:val="24"/>
          <w:szCs w:val="24"/>
        </w:rPr>
        <w:t xml:space="preserve">The </w:t>
      </w:r>
      <w:r w:rsidR="00F402A5" w:rsidRPr="00D01F66">
        <w:rPr>
          <w:rFonts w:ascii="Whitman-RomanLF" w:hAnsi="Whitman-RomanLF" w:cs="Whitman-RomanLF"/>
          <w:sz w:val="24"/>
          <w:szCs w:val="24"/>
        </w:rPr>
        <w:t>executive director</w:t>
      </w:r>
      <w:r w:rsidRPr="00D01F66">
        <w:rPr>
          <w:rFonts w:ascii="Whitman-RomanLF" w:hAnsi="Whitman-RomanLF" w:cs="Whitman-RomanLF"/>
          <w:sz w:val="24"/>
          <w:szCs w:val="24"/>
        </w:rPr>
        <w:t xml:space="preserve"> is responsible for the ongoing process of identifying its records, which have met the required retention period, and overseeing their destruction.  Destruction of financial and personnel-related documents will be accomplished by shredding. The organization will review its documents on file once per year, in the first quarter of the year, and will destroy records and documents that have surpassed their retention period.</w:t>
      </w:r>
    </w:p>
    <w:p w:rsidR="001A01AD" w:rsidRPr="00D01F66" w:rsidRDefault="001A01AD" w:rsidP="001A01AD">
      <w:pPr>
        <w:pStyle w:val="BodyText"/>
        <w:spacing w:line="240" w:lineRule="auto"/>
        <w:rPr>
          <w:rFonts w:ascii="Whitman-RomanLF" w:hAnsi="Whitman-RomanLF" w:cs="Whitman-RomanLF"/>
          <w:sz w:val="24"/>
          <w:szCs w:val="24"/>
        </w:rPr>
      </w:pPr>
      <w:r w:rsidRPr="00D01F66">
        <w:rPr>
          <w:rFonts w:ascii="Whitman-RomanLF" w:hAnsi="Whitman-RomanLF" w:cs="Whitman-RomanLF"/>
          <w:sz w:val="24"/>
          <w:szCs w:val="24"/>
        </w:rPr>
        <w:t>Document destruction will be suspended immediately, upon any indication of an official government investigation or when a lawsuit is filed or appears imminent. Destruction will be reinstated upon conclusion of the official government investigation or the resolution of the imminent or filed lawsuit.</w:t>
      </w:r>
    </w:p>
    <w:p w:rsidR="001A01AD" w:rsidRPr="00D01F66" w:rsidRDefault="00A721CF" w:rsidP="001A01AD">
      <w:pPr>
        <w:pStyle w:val="Heading2"/>
        <w:spacing w:line="240" w:lineRule="auto"/>
        <w:rPr>
          <w:rFonts w:ascii="Whitman-RomanLF" w:hAnsi="Whitman-RomanLF" w:cs="Whitman-RomanLF"/>
          <w:i w:val="0"/>
          <w:iCs w:val="0"/>
          <w:sz w:val="24"/>
          <w:szCs w:val="24"/>
        </w:rPr>
      </w:pPr>
      <w:r w:rsidRPr="00D01F66">
        <w:rPr>
          <w:rFonts w:ascii="Whitman-RomanLF" w:hAnsi="Whitman-RomanLF" w:cs="Whitman-RomanLF"/>
          <w:i w:val="0"/>
          <w:iCs w:val="0"/>
          <w:sz w:val="24"/>
          <w:szCs w:val="24"/>
        </w:rPr>
        <w:t xml:space="preserve">5. </w:t>
      </w:r>
      <w:r w:rsidR="001A01AD" w:rsidRPr="00D01F66">
        <w:rPr>
          <w:rFonts w:ascii="Whitman-RomanLF" w:hAnsi="Whitman-RomanLF" w:cs="Whitman-RomanLF"/>
          <w:i w:val="0"/>
          <w:iCs w:val="0"/>
          <w:sz w:val="24"/>
          <w:szCs w:val="24"/>
        </w:rPr>
        <w:t>Compliance.</w:t>
      </w:r>
    </w:p>
    <w:p w:rsidR="001A01AD" w:rsidRPr="00D01F66" w:rsidRDefault="001A01AD" w:rsidP="001A01AD">
      <w:pPr>
        <w:rPr>
          <w:rFonts w:ascii="Whitman-RomanLF" w:hAnsi="Whitman-RomanLF" w:cs="Whitman-RomanLF"/>
        </w:rPr>
      </w:pPr>
      <w:r w:rsidRPr="00D01F66">
        <w:rPr>
          <w:rFonts w:ascii="Whitman-RomanLF" w:hAnsi="Whitman-RomanLF" w:cs="Whitman-RomanLF"/>
        </w:rPr>
        <w:t xml:space="preserve">Failure on the part of employees to follow this policy can result in possible civil and criminal sanctions against </w:t>
      </w:r>
      <w:r w:rsidR="008C3600">
        <w:rPr>
          <w:rFonts w:ascii="Whitman-RomanLF" w:hAnsi="Whitman-RomanLF" w:cs="Whitman-RomanLF"/>
        </w:rPr>
        <w:t>Give Us Wings</w:t>
      </w:r>
      <w:r w:rsidRPr="00D01F66">
        <w:rPr>
          <w:rFonts w:ascii="Whitman-RomanLF" w:hAnsi="Whitman-RomanLF" w:cs="Whitman-RomanLF"/>
        </w:rPr>
        <w:t xml:space="preserve"> and its employees and possible disciplinary action against responsible individuals. The </w:t>
      </w:r>
      <w:r w:rsidR="00F402A5" w:rsidRPr="00D01F66">
        <w:rPr>
          <w:rFonts w:ascii="Whitman-RomanLF" w:hAnsi="Whitman-RomanLF" w:cs="Whitman-RomanLF"/>
        </w:rPr>
        <w:t>executive director</w:t>
      </w:r>
      <w:r w:rsidRPr="00D01F66">
        <w:rPr>
          <w:rFonts w:ascii="Whitman-RomanLF" w:hAnsi="Whitman-RomanLF" w:cs="Whitman-RomanLF"/>
        </w:rPr>
        <w:t xml:space="preserve"> and </w:t>
      </w:r>
      <w:r w:rsidR="00F402A5" w:rsidRPr="00D01F66">
        <w:rPr>
          <w:rFonts w:ascii="Whitman-RomanLF" w:hAnsi="Whitman-RomanLF" w:cs="Whitman-RomanLF"/>
        </w:rPr>
        <w:t>board chair</w:t>
      </w:r>
      <w:r w:rsidRPr="00D01F66">
        <w:rPr>
          <w:rFonts w:ascii="Whitman-RomanLF" w:hAnsi="Whitman-RomanLF" w:cs="Whitman-RomanLF"/>
        </w:rPr>
        <w:t xml:space="preserve"> will periodically review these procedures with legal counsel or </w:t>
      </w:r>
      <w:r w:rsidR="008C3600">
        <w:rPr>
          <w:rFonts w:ascii="Whitman-RomanLF" w:hAnsi="Whitman-RomanLF" w:cs="Whitman-RomanLF"/>
        </w:rPr>
        <w:t xml:space="preserve">Give Us Wings’ </w:t>
      </w:r>
      <w:r w:rsidRPr="00D01F66">
        <w:rPr>
          <w:rFonts w:ascii="Whitman-RomanLF" w:hAnsi="Whitman-RomanLF" w:cs="Whitman-RomanLF"/>
        </w:rPr>
        <w:t>certified public accountant to ensure that they are in compliance with new or revised regulations.</w:t>
      </w:r>
    </w:p>
    <w:p w:rsidR="001A01AD" w:rsidRPr="00D01F66" w:rsidRDefault="001A01AD">
      <w:pPr>
        <w:rPr>
          <w:rFonts w:ascii="Whitman-RomanLF" w:hAnsi="Whitman-RomanLF" w:cs="Whitman-RomanLF"/>
          <w:b/>
        </w:rPr>
      </w:pPr>
    </w:p>
    <w:p w:rsidR="00A721CF" w:rsidRPr="00D01F66" w:rsidRDefault="00A721CF">
      <w:pPr>
        <w:rPr>
          <w:rFonts w:ascii="Whitman-RomanLF" w:hAnsi="Whitman-RomanLF" w:cs="Whitman-RomanLF"/>
        </w:rPr>
      </w:pPr>
    </w:p>
    <w:sectPr w:rsidR="00A721CF" w:rsidRPr="00D01F66" w:rsidSect="00832D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hitman-RomanLF">
    <w:altName w:val="Times New Roman"/>
    <w:charset w:val="00"/>
    <w:family w:val="auto"/>
    <w:pitch w:val="variable"/>
    <w:sig w:usb0="00000000" w:usb1="50002048"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F1172"/>
    <w:multiLevelType w:val="hybridMultilevel"/>
    <w:tmpl w:val="D10E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D"/>
    <w:rsid w:val="00091A33"/>
    <w:rsid w:val="001A01AD"/>
    <w:rsid w:val="001A1A6E"/>
    <w:rsid w:val="00346C91"/>
    <w:rsid w:val="007C574D"/>
    <w:rsid w:val="00832DC6"/>
    <w:rsid w:val="008B7A9C"/>
    <w:rsid w:val="008C3600"/>
    <w:rsid w:val="009C69D2"/>
    <w:rsid w:val="00A721CF"/>
    <w:rsid w:val="00D01F66"/>
    <w:rsid w:val="00F402A5"/>
    <w:rsid w:val="00F5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8AC3A-EC1D-4A7B-B9A8-0E2312C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C6"/>
    <w:rPr>
      <w:sz w:val="24"/>
      <w:szCs w:val="24"/>
    </w:rPr>
  </w:style>
  <w:style w:type="paragraph" w:styleId="Heading1">
    <w:name w:val="heading 1"/>
    <w:basedOn w:val="Normal"/>
    <w:next w:val="Normal"/>
    <w:qFormat/>
    <w:rsid w:val="00A721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01AD"/>
    <w:pPr>
      <w:keepNext/>
      <w:spacing w:before="240" w:after="60" w:line="276"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01AD"/>
    <w:rPr>
      <w:rFonts w:cs="Times New Roman"/>
      <w:color w:val="0000FF"/>
      <w:u w:val="single"/>
    </w:rPr>
  </w:style>
  <w:style w:type="paragraph" w:styleId="ListParagraph">
    <w:name w:val="List Paragraph"/>
    <w:basedOn w:val="Normal"/>
    <w:qFormat/>
    <w:rsid w:val="001A01AD"/>
    <w:pPr>
      <w:spacing w:after="200" w:line="276" w:lineRule="auto"/>
      <w:ind w:left="720"/>
    </w:pPr>
    <w:rPr>
      <w:rFonts w:ascii="Calibri" w:hAnsi="Calibri"/>
      <w:sz w:val="22"/>
      <w:szCs w:val="22"/>
    </w:rPr>
  </w:style>
  <w:style w:type="character" w:customStyle="1" w:styleId="Heading2Char">
    <w:name w:val="Heading 2 Char"/>
    <w:basedOn w:val="DefaultParagraphFont"/>
    <w:link w:val="Heading2"/>
    <w:rsid w:val="001A01AD"/>
    <w:rPr>
      <w:rFonts w:ascii="Arial" w:hAnsi="Arial" w:cs="Arial"/>
      <w:b/>
      <w:bCs/>
      <w:i/>
      <w:iCs/>
      <w:sz w:val="28"/>
      <w:szCs w:val="28"/>
      <w:lang w:val="en-US" w:eastAsia="en-US" w:bidi="ar-SA"/>
    </w:rPr>
  </w:style>
  <w:style w:type="paragraph" w:styleId="BodyText">
    <w:name w:val="Body Text"/>
    <w:basedOn w:val="Normal"/>
    <w:link w:val="BodyTextChar"/>
    <w:rsid w:val="001A01AD"/>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1A01AD"/>
    <w:rPr>
      <w:rFonts w:ascii="Calibri" w:hAnsi="Calibri" w:cs="Calibri"/>
      <w:sz w:val="22"/>
      <w:szCs w:val="22"/>
      <w:lang w:val="en-US" w:eastAsia="en-US" w:bidi="ar-SA"/>
    </w:rPr>
  </w:style>
  <w:style w:type="character" w:styleId="FollowedHyperlink">
    <w:name w:val="FollowedHyperlink"/>
    <w:basedOn w:val="DefaultParagraphFont"/>
    <w:rsid w:val="00A721CF"/>
    <w:rPr>
      <w:color w:val="800080"/>
      <w:u w:val="single"/>
    </w:rPr>
  </w:style>
  <w:style w:type="paragraph" w:styleId="BalloonText">
    <w:name w:val="Balloon Text"/>
    <w:basedOn w:val="Normal"/>
    <w:link w:val="BalloonTextChar"/>
    <w:uiPriority w:val="99"/>
    <w:semiHidden/>
    <w:unhideWhenUsed/>
    <w:rsid w:val="008C3600"/>
    <w:rPr>
      <w:rFonts w:ascii="Tahoma" w:hAnsi="Tahoma" w:cs="Tahoma"/>
      <w:sz w:val="16"/>
      <w:szCs w:val="16"/>
    </w:rPr>
  </w:style>
  <w:style w:type="character" w:customStyle="1" w:styleId="BalloonTextChar">
    <w:name w:val="Balloon Text Char"/>
    <w:basedOn w:val="DefaultParagraphFont"/>
    <w:link w:val="BalloonText"/>
    <w:uiPriority w:val="99"/>
    <w:semiHidden/>
    <w:rsid w:val="008C3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1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Office 2007 GPO Deployment</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Jenna Strank</dc:creator>
  <cp:lastModifiedBy>Therese Anderson</cp:lastModifiedBy>
  <cp:revision>2</cp:revision>
  <dcterms:created xsi:type="dcterms:W3CDTF">2016-03-08T23:39:00Z</dcterms:created>
  <dcterms:modified xsi:type="dcterms:W3CDTF">2016-03-08T23:39:00Z</dcterms:modified>
</cp:coreProperties>
</file>